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https://worldartatlas.net/FAQ.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"https://worldartatlas.net/pricing"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info@worldartatlas.net"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info@worldartatlas.net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"https://worldartatlas.net/Contact"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ttps://worldartatlas.net/Contact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